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3673A" w14:textId="77777777" w:rsidR="006B1E0C" w:rsidRDefault="00040A9F">
      <w:pPr>
        <w:spacing w:before="240" w:after="0" w:line="276" w:lineRule="auto"/>
        <w:ind w:left="2" w:hanging="4"/>
        <w:rPr>
          <w:rFonts w:ascii="Arial" w:eastAsia="Arial" w:hAnsi="Arial" w:cs="Arial"/>
          <w:b/>
          <w:sz w:val="36"/>
          <w:szCs w:val="36"/>
        </w:rPr>
      </w:pPr>
      <w:r>
        <w:rPr>
          <w:rFonts w:ascii="Arial" w:eastAsia="Arial" w:hAnsi="Arial" w:cs="Arial"/>
          <w:b/>
          <w:sz w:val="36"/>
          <w:szCs w:val="36"/>
        </w:rPr>
        <w:t>Call-off Schedule 5 (Pricing Details)</w:t>
      </w:r>
    </w:p>
    <w:p w14:paraId="1103673B" w14:textId="77777777" w:rsidR="006B1E0C" w:rsidRDefault="00040A9F">
      <w:pPr>
        <w:spacing w:before="240" w:after="0" w:line="276" w:lineRule="auto"/>
        <w:ind w:left="2" w:hanging="4"/>
        <w:rPr>
          <w:rFonts w:ascii="Arial" w:eastAsia="Arial" w:hAnsi="Arial" w:cs="Arial"/>
          <w:b/>
          <w:sz w:val="36"/>
          <w:szCs w:val="36"/>
        </w:rPr>
      </w:pPr>
      <w:bookmarkStart w:id="0" w:name="_heading=h.1y810tw" w:colFirst="0" w:colLast="0"/>
      <w:bookmarkEnd w:id="0"/>
      <w:r>
        <w:rPr>
          <w:rFonts w:ascii="Arial" w:eastAsia="Arial" w:hAnsi="Arial" w:cs="Arial"/>
          <w:b/>
          <w:sz w:val="36"/>
          <w:szCs w:val="36"/>
        </w:rPr>
        <w:t>Part A – Fixed Fee Pricing</w:t>
      </w:r>
    </w:p>
    <w:p w14:paraId="1103673C" w14:textId="77777777" w:rsidR="006B1E0C" w:rsidRDefault="006B1E0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1103673D" w14:textId="77777777" w:rsidR="006B1E0C" w:rsidRDefault="00040A9F">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1" w:name="_heading=h.z337ya" w:colFirst="0" w:colLast="0"/>
      <w:bookmarkEnd w:id="1"/>
      <w:r>
        <w:rPr>
          <w:rFonts w:ascii="Arial" w:eastAsia="Arial" w:hAnsi="Arial" w:cs="Arial"/>
          <w:color w:val="000000"/>
          <w:sz w:val="24"/>
          <w:szCs w:val="24"/>
        </w:rPr>
        <w:t>This part of this schedule shall apply where the Fixed Fee Pricing option is selected in the Order Form.</w:t>
      </w:r>
    </w:p>
    <w:p w14:paraId="1103673E" w14:textId="77777777" w:rsidR="006B1E0C" w:rsidRDefault="00040A9F" w:rsidP="00FA765E">
      <w:pPr>
        <w:keepNext/>
        <w:numPr>
          <w:ilvl w:val="0"/>
          <w:numId w:val="1"/>
        </w:numPr>
        <w:pBdr>
          <w:top w:val="nil"/>
          <w:left w:val="nil"/>
          <w:bottom w:val="nil"/>
          <w:right w:val="nil"/>
          <w:between w:val="nil"/>
        </w:pBdr>
        <w:tabs>
          <w:tab w:val="left" w:pos="567"/>
        </w:tabs>
        <w:spacing w:line="240" w:lineRule="auto"/>
        <w:ind w:left="567" w:hangingChars="237" w:hanging="569"/>
        <w:rPr>
          <w:rFonts w:ascii="Arial" w:eastAsia="Arial" w:hAnsi="Arial" w:cs="Arial"/>
          <w:b/>
          <w:color w:val="000000"/>
          <w:sz w:val="24"/>
          <w:szCs w:val="24"/>
        </w:rPr>
      </w:pPr>
      <w:bookmarkStart w:id="2" w:name="_heading=h.gjdgxs" w:colFirst="0" w:colLast="0"/>
      <w:bookmarkEnd w:id="2"/>
      <w:r>
        <w:rPr>
          <w:rFonts w:ascii="Arial" w:eastAsia="Arial" w:hAnsi="Arial" w:cs="Arial"/>
          <w:b/>
          <w:sz w:val="24"/>
          <w:szCs w:val="24"/>
        </w:rPr>
        <w:t xml:space="preserve">Calculation Of </w:t>
      </w:r>
      <w:proofErr w:type="gramStart"/>
      <w:r>
        <w:rPr>
          <w:rFonts w:ascii="Arial" w:eastAsia="Arial" w:hAnsi="Arial" w:cs="Arial"/>
          <w:b/>
          <w:sz w:val="24"/>
          <w:szCs w:val="24"/>
        </w:rPr>
        <w:t>The</w:t>
      </w:r>
      <w:proofErr w:type="gramEnd"/>
      <w:r>
        <w:rPr>
          <w:rFonts w:ascii="Arial" w:eastAsia="Arial" w:hAnsi="Arial" w:cs="Arial"/>
          <w:b/>
          <w:sz w:val="24"/>
          <w:szCs w:val="24"/>
        </w:rPr>
        <w:t xml:space="preserve"> Charges</w:t>
      </w:r>
    </w:p>
    <w:p w14:paraId="1103673F" w14:textId="77777777" w:rsidR="006B1E0C" w:rsidRDefault="00040A9F" w:rsidP="00FA765E">
      <w:pPr>
        <w:numPr>
          <w:ilvl w:val="1"/>
          <w:numId w:val="1"/>
        </w:numPr>
        <w:pBdr>
          <w:top w:val="nil"/>
          <w:left w:val="nil"/>
          <w:bottom w:val="nil"/>
          <w:right w:val="nil"/>
          <w:between w:val="nil"/>
        </w:pBdr>
        <w:tabs>
          <w:tab w:val="left" w:pos="567"/>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11036740" w14:textId="77777777" w:rsidR="006B1E0C" w:rsidRDefault="00040A9F" w:rsidP="00FA765E">
      <w:pPr>
        <w:numPr>
          <w:ilvl w:val="2"/>
          <w:numId w:val="1"/>
        </w:numPr>
        <w:pBdr>
          <w:top w:val="nil"/>
          <w:left w:val="nil"/>
          <w:bottom w:val="nil"/>
          <w:right w:val="nil"/>
          <w:between w:val="nil"/>
        </w:pBdr>
        <w:shd w:val="clear" w:color="auto" w:fill="FFFFFF"/>
        <w:spacing w:line="240" w:lineRule="auto"/>
        <w:ind w:leftChars="256" w:left="1132" w:hangingChars="237" w:hanging="569"/>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 and based on the principles in Annex 1; </w:t>
      </w:r>
    </w:p>
    <w:p w14:paraId="11036741" w14:textId="77777777" w:rsidR="006B1E0C" w:rsidRDefault="00040A9F" w:rsidP="00FA765E">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paid in respect of Service Months for full and proper performance by the Supplier of its obligations under the Call-Off Contract; and</w:t>
      </w:r>
    </w:p>
    <w:p w14:paraId="11036742" w14:textId="77777777" w:rsidR="006B1E0C" w:rsidRDefault="00040A9F" w:rsidP="00FA765E">
      <w:pPr>
        <w:numPr>
          <w:ilvl w:val="2"/>
          <w:numId w:val="1"/>
        </w:numPr>
        <w:pBdr>
          <w:top w:val="nil"/>
          <w:left w:val="nil"/>
          <w:bottom w:val="nil"/>
          <w:right w:val="nil"/>
          <w:between w:val="nil"/>
        </w:pBdr>
        <w:spacing w:line="240" w:lineRule="auto"/>
        <w:ind w:leftChars="258" w:left="1132" w:hangingChars="235" w:hanging="564"/>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11036743" w14:textId="77777777" w:rsidR="006B1E0C" w:rsidRDefault="00040A9F" w:rsidP="00FA765E">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14:paraId="11036744" w14:textId="77777777" w:rsidR="006B1E0C" w:rsidRDefault="002623B4">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color w:val="000000"/>
          <w:sz w:val="24"/>
          <w:szCs w:val="24"/>
        </w:rPr>
        <w:pict w14:anchorId="11036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pt;height:17.5pt;visibility:visible">
            <v:imagedata r:id="rId12" o:title=""/>
            <v:path o:extrusionok="t"/>
          </v:shape>
        </w:pict>
      </w:r>
    </w:p>
    <w:p w14:paraId="11036745"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f2"/>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6B1E0C" w14:paraId="11036748" w14:textId="77777777">
        <w:tc>
          <w:tcPr>
            <w:tcW w:w="1134" w:type="dxa"/>
            <w:tcBorders>
              <w:top w:val="single" w:sz="4" w:space="0" w:color="000000"/>
              <w:left w:val="single" w:sz="4" w:space="0" w:color="000000"/>
            </w:tcBorders>
          </w:tcPr>
          <w:p w14:paraId="11036746"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14:paraId="11036747"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6B1E0C" w14:paraId="1103674B" w14:textId="77777777">
        <w:tc>
          <w:tcPr>
            <w:tcW w:w="1134" w:type="dxa"/>
            <w:tcBorders>
              <w:left w:val="single" w:sz="4" w:space="0" w:color="000000"/>
            </w:tcBorders>
          </w:tcPr>
          <w:p w14:paraId="11036749"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14:paraId="1103674A"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6B1E0C" w14:paraId="1103674E" w14:textId="77777777">
        <w:tc>
          <w:tcPr>
            <w:tcW w:w="1134" w:type="dxa"/>
            <w:tcBorders>
              <w:left w:val="single" w:sz="4" w:space="0" w:color="000000"/>
            </w:tcBorders>
          </w:tcPr>
          <w:p w14:paraId="1103674C"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1103674D"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w:t>
            </w:r>
            <w:proofErr w:type="spellStart"/>
            <w:r>
              <w:rPr>
                <w:rFonts w:ascii="Arial" w:eastAsia="Arial" w:hAnsi="Arial" w:cs="Arial"/>
                <w:color w:val="000000"/>
                <w:sz w:val="24"/>
                <w:szCs w:val="24"/>
              </w:rPr>
              <w:t>PassThrough</w:t>
            </w:r>
            <w:proofErr w:type="spellEnd"/>
            <w:r>
              <w:rPr>
                <w:rFonts w:ascii="Arial" w:eastAsia="Arial" w:hAnsi="Arial" w:cs="Arial"/>
                <w:color w:val="000000"/>
                <w:sz w:val="24"/>
                <w:szCs w:val="24"/>
              </w:rPr>
              <w:t xml:space="preserve"> Costs due in respect of the Previous Service Month which is calculated in accordance with paragraph 3 below; </w:t>
            </w:r>
          </w:p>
        </w:tc>
      </w:tr>
      <w:tr w:rsidR="006B1E0C" w14:paraId="11036751" w14:textId="77777777">
        <w:tc>
          <w:tcPr>
            <w:tcW w:w="1134" w:type="dxa"/>
            <w:tcBorders>
              <w:left w:val="single" w:sz="4" w:space="0" w:color="000000"/>
              <w:bottom w:val="single" w:sz="4" w:space="0" w:color="000000"/>
            </w:tcBorders>
          </w:tcPr>
          <w:p w14:paraId="1103674F"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11036750"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6B1E0C" w14:paraId="11036755" w14:textId="77777777">
        <w:trPr>
          <w:trHeight w:val="567"/>
        </w:trPr>
        <w:tc>
          <w:tcPr>
            <w:tcW w:w="1134" w:type="dxa"/>
            <w:tcBorders>
              <w:top w:val="single" w:sz="4" w:space="0" w:color="000000"/>
              <w:left w:val="single" w:sz="4" w:space="0" w:color="000000"/>
            </w:tcBorders>
          </w:tcPr>
          <w:p w14:paraId="11036752"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11036753" w14:textId="77777777" w:rsidR="006B1E0C" w:rsidRDefault="006B1E0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11036754"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6B1E0C" w14:paraId="11036759" w14:textId="77777777">
        <w:tc>
          <w:tcPr>
            <w:tcW w:w="1134" w:type="dxa"/>
            <w:tcBorders>
              <w:top w:val="single" w:sz="4" w:space="0" w:color="000000"/>
              <w:left w:val="single" w:sz="4" w:space="0" w:color="000000"/>
              <w:bottom w:val="single" w:sz="4" w:space="0" w:color="000000"/>
            </w:tcBorders>
          </w:tcPr>
          <w:p w14:paraId="11036756" w14:textId="77777777" w:rsidR="006B1E0C" w:rsidRDefault="00040A9F">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11036757" w14:textId="77777777" w:rsidR="006B1E0C" w:rsidRDefault="00040A9F">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KPI Credit in respect of the Previous Service Month off set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11036758" w14:textId="77777777" w:rsidR="006B1E0C" w:rsidRDefault="006B1E0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103675A"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14:paraId="1103675B" w14:textId="77777777" w:rsidR="006B1E0C" w:rsidRDefault="002623B4" w:rsidP="00FC09AF">
      <w:pPr>
        <w:pBdr>
          <w:top w:val="nil"/>
          <w:left w:val="nil"/>
          <w:bottom w:val="nil"/>
          <w:right w:val="nil"/>
          <w:between w:val="nil"/>
        </w:pBdr>
        <w:spacing w:after="200" w:line="240" w:lineRule="auto"/>
        <w:ind w:left="567" w:hangingChars="237" w:hanging="569"/>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pict w14:anchorId="1103679B">
          <v:shape id="_x0000_i1026" type="#_x0000_t75" style="width:248.9pt;height:15.4pt;visibility:visible">
            <v:imagedata r:id="rId13" o:title=""/>
            <v:path o:extrusionok="t"/>
          </v:shape>
        </w:pict>
      </w:r>
    </w:p>
    <w:p w14:paraId="1103675C"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1103675D"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1103675E"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14:paraId="1103675F"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11036760"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11036761"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11036762" w14:textId="77777777" w:rsidR="006B1E0C" w:rsidRDefault="00040A9F" w:rsidP="00FC09AF">
      <w:pPr>
        <w:pBdr>
          <w:top w:val="nil"/>
          <w:left w:val="nil"/>
          <w:bottom w:val="nil"/>
          <w:right w:val="nil"/>
          <w:between w:val="nil"/>
        </w:pBdr>
        <w:spacing w:line="240" w:lineRule="auto"/>
        <w:ind w:leftChars="256" w:left="565"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1036763"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11036764"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11036765"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1036766"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1036767"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11036768"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lastRenderedPageBreak/>
        <w:t xml:space="preserve">only those types of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set out in the Order Form shall be recoverable;</w:t>
      </w:r>
    </w:p>
    <w:p w14:paraId="11036769" w14:textId="77777777" w:rsidR="006B1E0C" w:rsidRDefault="00040A9F" w:rsidP="00FC09AF">
      <w:pPr>
        <w:numPr>
          <w:ilvl w:val="2"/>
          <w:numId w:val="1"/>
        </w:numPr>
        <w:pBdr>
          <w:top w:val="nil"/>
          <w:left w:val="nil"/>
          <w:bottom w:val="nil"/>
          <w:right w:val="nil"/>
          <w:between w:val="nil"/>
        </w:pBdr>
        <w:spacing w:line="240" w:lineRule="auto"/>
        <w:ind w:leftChars="257" w:left="1129" w:hangingChars="235" w:hanging="564"/>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14:paraId="1103676A"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the Supplier shall not be entitled to charge any additional amount on top of 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including any margin, mark up or uplift costs; and</w:t>
      </w:r>
    </w:p>
    <w:p w14:paraId="1103676B"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any claim for Pass Through Costs shall be supported by such documentation as the Buyer may request from time to time.</w:t>
      </w:r>
    </w:p>
    <w:p w14:paraId="1103676C"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1103676D"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1103676E"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103676F"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11036770"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11036771" w14:textId="77777777" w:rsidR="006B1E0C" w:rsidRDefault="00040A9F" w:rsidP="00FC09AF">
      <w:pPr>
        <w:numPr>
          <w:ilvl w:val="2"/>
          <w:numId w:val="1"/>
        </w:numPr>
        <w:pBdr>
          <w:top w:val="nil"/>
          <w:left w:val="nil"/>
          <w:bottom w:val="nil"/>
          <w:right w:val="nil"/>
          <w:between w:val="nil"/>
        </w:pBdr>
        <w:tabs>
          <w:tab w:val="left" w:pos="1134"/>
        </w:tabs>
        <w:spacing w:line="240" w:lineRule="auto"/>
        <w:ind w:leftChars="256" w:left="1132" w:hangingChars="237" w:hanging="569"/>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11036772" w14:textId="77777777" w:rsidR="006B1E0C" w:rsidRDefault="00040A9F" w:rsidP="00FC09AF">
      <w:pPr>
        <w:numPr>
          <w:ilvl w:val="2"/>
          <w:numId w:val="1"/>
        </w:numPr>
        <w:pBdr>
          <w:top w:val="nil"/>
          <w:left w:val="nil"/>
          <w:bottom w:val="nil"/>
          <w:right w:val="nil"/>
          <w:between w:val="nil"/>
        </w:pBdr>
        <w:tabs>
          <w:tab w:val="left" w:pos="1134"/>
        </w:tabs>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11036773"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1036774"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If the Payment Index has not been published for the relevant month as required for this </w:t>
      </w:r>
      <w:proofErr w:type="gramStart"/>
      <w:r>
        <w:rPr>
          <w:rFonts w:ascii="Arial" w:eastAsia="Arial" w:hAnsi="Arial" w:cs="Arial"/>
          <w:color w:val="000000"/>
          <w:sz w:val="24"/>
          <w:szCs w:val="24"/>
        </w:rPr>
        <w:t>calculation</w:t>
      </w:r>
      <w:proofErr w:type="gramEnd"/>
      <w:r>
        <w:rPr>
          <w:rFonts w:ascii="Arial" w:eastAsia="Arial" w:hAnsi="Arial" w:cs="Arial"/>
          <w:color w:val="000000"/>
          <w:sz w:val="24"/>
          <w:szCs w:val="24"/>
        </w:rPr>
        <w:t xml:space="preserve"> then the last published value of the index available at the Adjustment Date shall be used.</w:t>
      </w:r>
    </w:p>
    <w:p w14:paraId="11036775"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11036776"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Pricing For Variations</w:t>
      </w:r>
    </w:p>
    <w:p w14:paraId="11036777"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14:paraId="11036778"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11036779" w14:textId="009B5BB0" w:rsidR="006B1E0C" w:rsidRPr="001B327C" w:rsidRDefault="00040A9F" w:rsidP="001B327C">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w:t>
      </w:r>
      <w:r w:rsidR="00B95F0F">
        <w:rPr>
          <w:rFonts w:ascii="Arial" w:eastAsia="Arial" w:hAnsi="Arial" w:cs="Arial"/>
          <w:color w:val="000000"/>
          <w:sz w:val="24"/>
          <w:szCs w:val="24"/>
        </w:rPr>
        <w:t xml:space="preserve">during the </w:t>
      </w:r>
      <w:r w:rsidR="001B327C">
        <w:rPr>
          <w:rFonts w:ascii="Arial" w:eastAsia="Arial" w:hAnsi="Arial" w:cs="Arial"/>
          <w:color w:val="000000"/>
          <w:sz w:val="24"/>
          <w:szCs w:val="24"/>
        </w:rPr>
        <w:t xml:space="preserve">Call-Off Contract </w:t>
      </w:r>
      <w:r w:rsidR="00B95F0F">
        <w:rPr>
          <w:rFonts w:ascii="Arial" w:eastAsia="Arial" w:hAnsi="Arial" w:cs="Arial"/>
          <w:color w:val="000000"/>
          <w:sz w:val="24"/>
          <w:szCs w:val="24"/>
        </w:rPr>
        <w:t>Mobilisation Period and/or</w:t>
      </w:r>
      <w:r w:rsidR="00B95F0F" w:rsidRPr="001B327C">
        <w:rPr>
          <w:rFonts w:ascii="Arial" w:eastAsia="Arial" w:hAnsi="Arial" w:cs="Arial"/>
          <w:color w:val="000000"/>
          <w:sz w:val="24"/>
          <w:szCs w:val="24"/>
        </w:rPr>
        <w:t xml:space="preserve"> </w:t>
      </w:r>
      <w:r w:rsidR="001B327C">
        <w:rPr>
          <w:rFonts w:ascii="Arial" w:eastAsia="Arial" w:hAnsi="Arial" w:cs="Arial"/>
          <w:color w:val="000000"/>
          <w:sz w:val="24"/>
          <w:szCs w:val="24"/>
        </w:rPr>
        <w:t xml:space="preserve">during the period of </w:t>
      </w:r>
      <w:r w:rsidR="003D5F83" w:rsidRPr="001B327C">
        <w:rPr>
          <w:rFonts w:ascii="Arial" w:eastAsia="Arial" w:hAnsi="Arial" w:cs="Arial"/>
          <w:color w:val="000000"/>
          <w:sz w:val="24"/>
          <w:szCs w:val="24"/>
        </w:rPr>
        <w:t xml:space="preserve">up to twelve (12) months following the end of the </w:t>
      </w:r>
      <w:r w:rsidR="001B327C">
        <w:rPr>
          <w:rFonts w:ascii="Arial" w:eastAsia="Arial" w:hAnsi="Arial" w:cs="Arial"/>
          <w:color w:val="000000"/>
          <w:sz w:val="24"/>
          <w:szCs w:val="24"/>
        </w:rPr>
        <w:t xml:space="preserve">Call-Off Contract </w:t>
      </w:r>
      <w:r w:rsidR="003D5F83" w:rsidRPr="001B327C">
        <w:rPr>
          <w:rFonts w:ascii="Arial" w:eastAsia="Arial" w:hAnsi="Arial" w:cs="Arial"/>
          <w:color w:val="000000"/>
          <w:sz w:val="24"/>
          <w:szCs w:val="24"/>
        </w:rPr>
        <w:t>Mobilisation Period</w:t>
      </w:r>
      <w:r w:rsidRPr="001B327C">
        <w:rPr>
          <w:rFonts w:ascii="Arial" w:eastAsia="Arial" w:hAnsi="Arial" w:cs="Arial"/>
          <w:color w:val="000000"/>
          <w:sz w:val="24"/>
          <w:szCs w:val="24"/>
        </w:rPr>
        <w:t xml:space="preserve"> to verify the Due Diligence Information</w:t>
      </w:r>
      <w:r w:rsidRPr="001B327C">
        <w:rPr>
          <w:rFonts w:ascii="Arial" w:eastAsia="Arial" w:hAnsi="Arial" w:cs="Arial"/>
          <w:sz w:val="24"/>
          <w:szCs w:val="24"/>
        </w:rPr>
        <w:t>.</w:t>
      </w:r>
      <w:r w:rsidRPr="001B327C">
        <w:rPr>
          <w:rFonts w:ascii="Arial" w:eastAsia="Arial" w:hAnsi="Arial" w:cs="Arial"/>
          <w:color w:val="000000"/>
          <w:sz w:val="24"/>
          <w:szCs w:val="24"/>
        </w:rPr>
        <w:t xml:space="preserve"> Call-Off Pricing revisions for any </w:t>
      </w:r>
      <w:r w:rsidR="001B327C">
        <w:rPr>
          <w:rFonts w:ascii="Arial" w:eastAsia="Arial" w:hAnsi="Arial" w:cs="Arial"/>
          <w:color w:val="000000"/>
          <w:sz w:val="24"/>
          <w:szCs w:val="24"/>
        </w:rPr>
        <w:t>errors,</w:t>
      </w:r>
      <w:r w:rsidRPr="001B327C">
        <w:rPr>
          <w:rFonts w:ascii="Arial" w:eastAsia="Arial" w:hAnsi="Arial" w:cs="Arial"/>
          <w:color w:val="000000"/>
          <w:sz w:val="24"/>
          <w:szCs w:val="24"/>
        </w:rPr>
        <w:t xml:space="preserve"> inaccuracies </w:t>
      </w:r>
      <w:r w:rsidR="001B327C">
        <w:rPr>
          <w:rFonts w:ascii="Arial" w:eastAsia="Arial" w:hAnsi="Arial" w:cs="Arial"/>
          <w:color w:val="000000"/>
          <w:sz w:val="24"/>
          <w:szCs w:val="24"/>
        </w:rPr>
        <w:t xml:space="preserve">or omissions </w:t>
      </w:r>
      <w:r w:rsidRPr="001B327C">
        <w:rPr>
          <w:rFonts w:ascii="Arial" w:eastAsia="Arial" w:hAnsi="Arial" w:cs="Arial"/>
          <w:color w:val="000000"/>
          <w:sz w:val="24"/>
          <w:szCs w:val="24"/>
        </w:rPr>
        <w:t xml:space="preserve">in the Due Diligence Information identified </w:t>
      </w:r>
      <w:r w:rsidR="00D77C52">
        <w:rPr>
          <w:rFonts w:ascii="Arial" w:eastAsia="Arial" w:hAnsi="Arial" w:cs="Arial"/>
          <w:color w:val="000000"/>
          <w:sz w:val="24"/>
          <w:szCs w:val="24"/>
        </w:rPr>
        <w:t>after the</w:t>
      </w:r>
      <w:r w:rsidRPr="001B327C">
        <w:rPr>
          <w:rFonts w:ascii="Arial" w:eastAsia="Arial" w:hAnsi="Arial" w:cs="Arial"/>
          <w:color w:val="000000"/>
          <w:sz w:val="24"/>
          <w:szCs w:val="24"/>
        </w:rPr>
        <w:t xml:space="preserve"> </w:t>
      </w:r>
      <w:r w:rsidR="00565613" w:rsidRPr="001B327C">
        <w:rPr>
          <w:rFonts w:ascii="Arial" w:eastAsia="Arial" w:hAnsi="Arial" w:cs="Arial"/>
          <w:color w:val="000000"/>
          <w:sz w:val="24"/>
          <w:szCs w:val="24"/>
        </w:rPr>
        <w:t xml:space="preserve">twelve (12) months following </w:t>
      </w:r>
      <w:r w:rsidRPr="001B327C">
        <w:rPr>
          <w:rFonts w:ascii="Arial" w:eastAsia="Arial" w:hAnsi="Arial" w:cs="Arial"/>
          <w:color w:val="000000"/>
          <w:sz w:val="24"/>
          <w:szCs w:val="24"/>
        </w:rPr>
        <w:t>the</w:t>
      </w:r>
      <w:r w:rsidR="00D77C52">
        <w:rPr>
          <w:rFonts w:ascii="Arial" w:eastAsia="Arial" w:hAnsi="Arial" w:cs="Arial"/>
          <w:color w:val="000000"/>
          <w:sz w:val="24"/>
          <w:szCs w:val="24"/>
        </w:rPr>
        <w:t xml:space="preserve"> end of the Call-Off Contract</w:t>
      </w:r>
      <w:r w:rsidRPr="001B327C">
        <w:rPr>
          <w:rFonts w:ascii="Arial" w:eastAsia="Arial" w:hAnsi="Arial" w:cs="Arial"/>
          <w:color w:val="000000"/>
          <w:sz w:val="24"/>
          <w:szCs w:val="24"/>
        </w:rPr>
        <w:t xml:space="preserve"> Mobilisation Period are not permitted.</w:t>
      </w:r>
    </w:p>
    <w:p w14:paraId="1103677A" w14:textId="63191D64" w:rsidR="006B1E0C" w:rsidRDefault="00040A9F" w:rsidP="0078351A">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w:t>
      </w:r>
      <w:r w:rsidR="00D77C52">
        <w:rPr>
          <w:rFonts w:ascii="Arial" w:eastAsia="Arial" w:hAnsi="Arial" w:cs="Arial"/>
          <w:color w:val="000000"/>
          <w:sz w:val="24"/>
          <w:szCs w:val="24"/>
        </w:rPr>
        <w:t>Call-Off Contract Mobilisation Period and/or</w:t>
      </w:r>
      <w:r w:rsidR="00D77C52" w:rsidRPr="001B327C">
        <w:rPr>
          <w:rFonts w:ascii="Arial" w:eastAsia="Arial" w:hAnsi="Arial" w:cs="Arial"/>
          <w:color w:val="000000"/>
          <w:sz w:val="24"/>
          <w:szCs w:val="24"/>
        </w:rPr>
        <w:t xml:space="preserve"> </w:t>
      </w:r>
      <w:r w:rsidR="00D77C52">
        <w:rPr>
          <w:rFonts w:ascii="Arial" w:eastAsia="Arial" w:hAnsi="Arial" w:cs="Arial"/>
          <w:color w:val="000000"/>
          <w:sz w:val="24"/>
          <w:szCs w:val="24"/>
        </w:rPr>
        <w:t xml:space="preserve">during the period of </w:t>
      </w:r>
      <w:r w:rsidR="00D77C52" w:rsidRPr="001B327C">
        <w:rPr>
          <w:rFonts w:ascii="Arial" w:eastAsia="Arial" w:hAnsi="Arial" w:cs="Arial"/>
          <w:color w:val="000000"/>
          <w:sz w:val="24"/>
          <w:szCs w:val="24"/>
        </w:rPr>
        <w:t xml:space="preserve">up to twelve (12) months following the end of the </w:t>
      </w:r>
      <w:r w:rsidR="00D77C52">
        <w:rPr>
          <w:rFonts w:ascii="Arial" w:eastAsia="Arial" w:hAnsi="Arial" w:cs="Arial"/>
          <w:color w:val="000000"/>
          <w:sz w:val="24"/>
          <w:szCs w:val="24"/>
        </w:rPr>
        <w:t xml:space="preserve">Call-Off Contract </w:t>
      </w:r>
      <w:r w:rsidR="00D77C52" w:rsidRPr="001B327C">
        <w:rPr>
          <w:rFonts w:ascii="Arial" w:eastAsia="Arial" w:hAnsi="Arial" w:cs="Arial"/>
          <w:color w:val="000000"/>
          <w:sz w:val="24"/>
          <w:szCs w:val="24"/>
        </w:rPr>
        <w:t>Mobilisation Period</w:t>
      </w:r>
      <w:r w:rsidR="00CE74EB">
        <w:rPr>
          <w:rFonts w:ascii="Arial" w:eastAsia="Arial" w:hAnsi="Arial" w:cs="Arial"/>
          <w:color w:val="000000"/>
          <w:sz w:val="24"/>
          <w:szCs w:val="24"/>
        </w:rPr>
        <w:t xml:space="preserve"> </w:t>
      </w:r>
      <w:r w:rsidR="008C5E73">
        <w:rPr>
          <w:rFonts w:ascii="Arial" w:eastAsia="Arial" w:hAnsi="Arial" w:cs="Arial"/>
          <w:color w:val="000000"/>
          <w:sz w:val="24"/>
          <w:szCs w:val="24"/>
        </w:rPr>
        <w:t>as per paragraph 6.3 above</w:t>
      </w:r>
      <w:r>
        <w:rPr>
          <w:rFonts w:ascii="Arial" w:eastAsia="Arial" w:hAnsi="Arial" w:cs="Arial"/>
          <w:color w:val="000000"/>
          <w:sz w:val="24"/>
          <w:szCs w:val="24"/>
        </w:rPr>
        <w:t xml:space="preserve">, the following shall apply: </w:t>
      </w:r>
    </w:p>
    <w:p w14:paraId="1103677B" w14:textId="5152344B"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in accordance with the maximum Framework Price unit-of-measure rate (i.e. the capped rate) under Framework Schedule 3,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Standard Service Pricing classification for the Service, which was provided by the Buyer prior to entering into the  Call-Off Contract, was incorrect; </w:t>
      </w:r>
    </w:p>
    <w:p w14:paraId="1103677C" w14:textId="690F7C0D"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103677D" w14:textId="4D9F9621"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lastRenderedPageBreak/>
        <w:t>Where Services where no Framework Contract Pricing unit-of-measure rate applies are ordered under a Call-Off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103677E"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1103677F" w14:textId="77777777" w:rsidR="006B1E0C" w:rsidRDefault="00040A9F" w:rsidP="0078351A">
      <w:pPr>
        <w:numPr>
          <w:ilvl w:val="1"/>
          <w:numId w:val="1"/>
        </w:numPr>
        <w:pBdr>
          <w:top w:val="nil"/>
          <w:left w:val="nil"/>
          <w:bottom w:val="nil"/>
          <w:right w:val="nil"/>
          <w:between w:val="nil"/>
        </w:pBdr>
        <w:spacing w:line="240" w:lineRule="auto"/>
        <w:ind w:leftChars="1" w:left="566" w:hangingChars="235" w:hanging="564"/>
        <w:rPr>
          <w:rFonts w:ascii="Arial" w:eastAsia="Arial" w:hAnsi="Arial" w:cs="Arial"/>
          <w:color w:val="000000"/>
          <w:sz w:val="24"/>
          <w:szCs w:val="24"/>
        </w:rPr>
      </w:pPr>
      <w:r>
        <w:rPr>
          <w:rFonts w:ascii="Arial" w:eastAsia="Arial" w:hAnsi="Arial" w:cs="Arial"/>
          <w:color w:val="000000"/>
          <w:sz w:val="24"/>
          <w:szCs w:val="24"/>
        </w:rPr>
        <w:t>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14:paraId="11036780"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11036781"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11036782"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11036783"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11036784"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11036785"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11036786"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11036787"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11036788"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11036789"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1103678A"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1103678B"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lastRenderedPageBreak/>
        <w:t>specifies the Deliverables to which the invoice relates;</w:t>
      </w:r>
    </w:p>
    <w:p w14:paraId="1103678C"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1103678D"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1103678E"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1103678F"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11036790"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p>
    <w:p w14:paraId="11036791" w14:textId="77777777" w:rsidR="006B1E0C" w:rsidRDefault="00040A9F" w:rsidP="003D3E96">
      <w:pPr>
        <w:numPr>
          <w:ilvl w:val="1"/>
          <w:numId w:val="1"/>
        </w:numPr>
        <w:pBdr>
          <w:top w:val="nil"/>
          <w:left w:val="nil"/>
          <w:bottom w:val="nil"/>
          <w:right w:val="nil"/>
          <w:between w:val="nil"/>
        </w:pBdr>
        <w:spacing w:line="240" w:lineRule="auto"/>
        <w:ind w:leftChars="1" w:left="566" w:hangingChars="235" w:hanging="564"/>
        <w:rPr>
          <w:rFonts w:ascii="Arial" w:eastAsia="Arial" w:hAnsi="Arial" w:cs="Arial"/>
          <w:color w:val="000000"/>
          <w:sz w:val="24"/>
          <w:szCs w:val="24"/>
        </w:rPr>
      </w:pP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11036792"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11036793" w14:textId="77777777" w:rsidR="006B1E0C" w:rsidRDefault="00040A9F" w:rsidP="003D3E96">
      <w:pPr>
        <w:keepNext/>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11036794"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11036795"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11036796"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11036797"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1036798" w14:textId="77777777" w:rsidR="006B1E0C" w:rsidRDefault="00040A9F" w:rsidP="002952A8">
      <w:pPr>
        <w:spacing w:after="0" w:line="240" w:lineRule="auto"/>
        <w:ind w:leftChars="257" w:left="565" w:firstLineChars="0" w:firstLine="0"/>
        <w:jc w:val="left"/>
        <w:rPr>
          <w:rFonts w:ascii="Arial" w:eastAsia="Arial" w:hAnsi="Arial" w:cs="Arial"/>
          <w:color w:val="000000"/>
          <w:sz w:val="24"/>
          <w:szCs w:val="24"/>
        </w:r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11036799" w14:textId="558976D8" w:rsidR="006B1E0C" w:rsidRDefault="006B1E0C">
      <w:pPr>
        <w:tabs>
          <w:tab w:val="left" w:pos="756"/>
        </w:tabs>
        <w:ind w:left="0" w:hanging="2"/>
        <w:rPr>
          <w:rFonts w:ascii="Arial" w:eastAsia="Arial" w:hAnsi="Arial" w:cs="Arial"/>
          <w:sz w:val="24"/>
          <w:szCs w:val="24"/>
        </w:rPr>
      </w:pPr>
      <w:bookmarkStart w:id="12" w:name="_heading=h.3rdcrjn" w:colFirst="0" w:colLast="0"/>
      <w:bookmarkEnd w:id="12"/>
    </w:p>
    <w:p w14:paraId="15A128E5" w14:textId="5EE46B31" w:rsidR="002146AE" w:rsidRDefault="002146AE">
      <w:pPr>
        <w:tabs>
          <w:tab w:val="left" w:pos="756"/>
        </w:tabs>
        <w:ind w:left="0" w:hanging="2"/>
        <w:rPr>
          <w:rFonts w:ascii="Arial" w:eastAsia="Arial" w:hAnsi="Arial" w:cs="Arial"/>
          <w:b/>
          <w:bCs/>
          <w:sz w:val="24"/>
          <w:szCs w:val="24"/>
        </w:rPr>
      </w:pPr>
      <w:r w:rsidRPr="002146AE">
        <w:rPr>
          <w:rFonts w:ascii="Arial" w:eastAsia="Arial" w:hAnsi="Arial" w:cs="Arial"/>
          <w:b/>
          <w:bCs/>
          <w:sz w:val="24"/>
          <w:szCs w:val="24"/>
        </w:rPr>
        <w:t>SUPPLIER PRICING</w:t>
      </w:r>
    </w:p>
    <w:p w14:paraId="7BF119A1" w14:textId="32113DF2" w:rsidR="002146AE" w:rsidRDefault="006B54C4">
      <w:pPr>
        <w:tabs>
          <w:tab w:val="left" w:pos="756"/>
        </w:tabs>
        <w:ind w:left="0" w:hanging="2"/>
        <w:rPr>
          <w:rFonts w:ascii="Arial" w:eastAsia="Arial" w:hAnsi="Arial" w:cs="Arial"/>
          <w:b/>
          <w:bCs/>
          <w:sz w:val="24"/>
          <w:szCs w:val="24"/>
        </w:rPr>
      </w:pPr>
      <w:r w:rsidRPr="006B54C4">
        <w:rPr>
          <w:rFonts w:ascii="Arial" w:eastAsia="Arial" w:hAnsi="Arial" w:cs="Arial"/>
          <w:b/>
          <w:bCs/>
          <w:sz w:val="24"/>
          <w:szCs w:val="24"/>
        </w:rPr>
        <w:t>REDACTED TEXT under FOIA Section 43 Commercial Interests</w:t>
      </w:r>
    </w:p>
    <w:p w14:paraId="6EC154AB" w14:textId="4329E133" w:rsidR="002146AE" w:rsidRPr="002146AE" w:rsidRDefault="002146AE">
      <w:pPr>
        <w:tabs>
          <w:tab w:val="left" w:pos="756"/>
        </w:tabs>
        <w:ind w:left="0" w:hanging="2"/>
        <w:rPr>
          <w:rFonts w:ascii="Arial" w:eastAsia="Arial" w:hAnsi="Arial" w:cs="Arial"/>
          <w:b/>
          <w:bCs/>
          <w:sz w:val="24"/>
          <w:szCs w:val="24"/>
        </w:rPr>
      </w:pPr>
    </w:p>
    <w:sectPr w:rsidR="002146AE" w:rsidRPr="002146AE">
      <w:headerReference w:type="even" r:id="rId14"/>
      <w:headerReference w:type="default" r:id="rId15"/>
      <w:footerReference w:type="even" r:id="rId16"/>
      <w:footerReference w:type="default" r:id="rId17"/>
      <w:headerReference w:type="first" r:id="rId18"/>
      <w:footerReference w:type="first" r:id="rId19"/>
      <w:pgSz w:w="11909" w:h="16834"/>
      <w:pgMar w:top="1440" w:right="1440" w:bottom="1440" w:left="1440"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973C0" w14:textId="77777777" w:rsidR="002623B4" w:rsidRDefault="002623B4">
      <w:pPr>
        <w:spacing w:after="0" w:line="240" w:lineRule="auto"/>
        <w:ind w:left="0" w:hanging="2"/>
      </w:pPr>
      <w:r>
        <w:separator/>
      </w:r>
    </w:p>
  </w:endnote>
  <w:endnote w:type="continuationSeparator" w:id="0">
    <w:p w14:paraId="54D1A0B6" w14:textId="77777777" w:rsidR="002623B4" w:rsidRDefault="002623B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5" w14:textId="77777777" w:rsidR="006B1E0C" w:rsidRDefault="006B1E0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6" w14:textId="77777777" w:rsidR="006B1E0C" w:rsidRDefault="006B1E0C">
    <w:pPr>
      <w:tabs>
        <w:tab w:val="center" w:pos="4513"/>
        <w:tab w:val="right" w:pos="9026"/>
      </w:tabs>
      <w:spacing w:after="0" w:line="240" w:lineRule="auto"/>
      <w:ind w:left="0" w:hanging="2"/>
      <w:rPr>
        <w:rFonts w:ascii="Calibri" w:eastAsia="Calibri" w:hAnsi="Calibri" w:cs="Calibri"/>
      </w:rPr>
    </w:pPr>
  </w:p>
  <w:p w14:paraId="110367A7"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110367A8"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091D">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110367A9"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E"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110367AF"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091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10367B0"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p w14:paraId="110367B1" w14:textId="77777777" w:rsidR="006B1E0C" w:rsidRDefault="006B1E0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900F0" w14:textId="77777777" w:rsidR="002623B4" w:rsidRDefault="002623B4">
      <w:pPr>
        <w:spacing w:after="0" w:line="240" w:lineRule="auto"/>
        <w:ind w:left="0" w:hanging="2"/>
      </w:pPr>
      <w:r>
        <w:separator/>
      </w:r>
    </w:p>
  </w:footnote>
  <w:footnote w:type="continuationSeparator" w:id="0">
    <w:p w14:paraId="25683615" w14:textId="77777777" w:rsidR="002623B4" w:rsidRDefault="002623B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0"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1" w14:textId="77777777" w:rsidR="006B1E0C" w:rsidRDefault="00040A9F">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110367A2" w14:textId="77777777" w:rsidR="006B1E0C" w:rsidRDefault="00040A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 Ref:</w:t>
    </w:r>
  </w:p>
  <w:p w14:paraId="110367A3" w14:textId="77777777" w:rsidR="006B1E0C" w:rsidRDefault="00040A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10367A4"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A" w14:textId="77777777" w:rsidR="006B1E0C" w:rsidRDefault="00040A9F">
    <w:pP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b/>
        <w:color w:val="000000"/>
        <w:sz w:val="20"/>
        <w:szCs w:val="20"/>
      </w:rPr>
      <w:t>Call-Off Schedule 5 (Pricing Details)</w:t>
    </w:r>
  </w:p>
  <w:p w14:paraId="110367AB" w14:textId="77777777" w:rsidR="006B1E0C" w:rsidRDefault="00040A9F">
    <w:pPr>
      <w:tabs>
        <w:tab w:val="center" w:pos="4513"/>
        <w:tab w:val="right" w:pos="9026"/>
      </w:tabs>
      <w:spacing w:after="0" w:line="240" w:lineRule="auto"/>
      <w:ind w:left="0" w:hanging="2"/>
      <w:jc w:val="left"/>
      <w:rPr>
        <w:rFonts w:ascii="Arial" w:eastAsia="Arial" w:hAnsi="Arial" w:cs="Arial"/>
        <w:color w:val="000000"/>
        <w:sz w:val="20"/>
        <w:szCs w:val="20"/>
      </w:rPr>
    </w:pPr>
    <w:bookmarkStart w:id="13" w:name="_heading=h.1fob9te" w:colFirst="0" w:colLast="0"/>
    <w:bookmarkEnd w:id="13"/>
    <w:r>
      <w:rPr>
        <w:rFonts w:ascii="Arial" w:eastAsia="Arial" w:hAnsi="Arial" w:cs="Arial"/>
        <w:color w:val="000000"/>
        <w:sz w:val="20"/>
        <w:szCs w:val="20"/>
      </w:rPr>
      <w:t xml:space="preserve">Call-Off Ref: </w:t>
    </w:r>
  </w:p>
  <w:p w14:paraId="110367AC" w14:textId="77777777" w:rsidR="006B1E0C" w:rsidRDefault="00040A9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Crown Copyright 2021</w:t>
    </w:r>
  </w:p>
  <w:p w14:paraId="110367AD"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955B9"/>
    <w:multiLevelType w:val="multilevel"/>
    <w:tmpl w:val="BD0853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1391AF1"/>
    <w:multiLevelType w:val="multilevel"/>
    <w:tmpl w:val="8D3E260C"/>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E0C"/>
    <w:rsid w:val="00040A9F"/>
    <w:rsid w:val="000B1066"/>
    <w:rsid w:val="001429F6"/>
    <w:rsid w:val="001A0DE5"/>
    <w:rsid w:val="001B327C"/>
    <w:rsid w:val="002146AE"/>
    <w:rsid w:val="002623B4"/>
    <w:rsid w:val="002952A8"/>
    <w:rsid w:val="0030091D"/>
    <w:rsid w:val="00325DEA"/>
    <w:rsid w:val="003D3E96"/>
    <w:rsid w:val="003D5F83"/>
    <w:rsid w:val="004526F5"/>
    <w:rsid w:val="00565613"/>
    <w:rsid w:val="006B1E0C"/>
    <w:rsid w:val="006B54C4"/>
    <w:rsid w:val="0078351A"/>
    <w:rsid w:val="00864A8B"/>
    <w:rsid w:val="008C5E73"/>
    <w:rsid w:val="009050AC"/>
    <w:rsid w:val="009540E8"/>
    <w:rsid w:val="009908D2"/>
    <w:rsid w:val="00A1636C"/>
    <w:rsid w:val="00A31B4A"/>
    <w:rsid w:val="00A87A7D"/>
    <w:rsid w:val="00B95F0F"/>
    <w:rsid w:val="00BA2FEF"/>
    <w:rsid w:val="00CC62D8"/>
    <w:rsid w:val="00CE74EB"/>
    <w:rsid w:val="00D77C52"/>
    <w:rsid w:val="00E5272E"/>
    <w:rsid w:val="00EE4691"/>
    <w:rsid w:val="00F541E4"/>
    <w:rsid w:val="00FA765E"/>
    <w:rsid w:val="00FB096D"/>
    <w:rsid w:val="00FC09AF"/>
    <w:rsid w:val="00FD25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3673A"/>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tabs>
        <w:tab w:val="num" w:pos="720"/>
      </w:tabs>
    </w:pPr>
    <w:rPr>
      <w:rFonts w:ascii="Calibri" w:eastAsia="STZhongsong" w:hAnsi="Calibri"/>
    </w:rPr>
  </w:style>
  <w:style w:type="paragraph" w:styleId="BodyTextIndent2">
    <w:name w:val="Body Text Indent 2"/>
    <w:basedOn w:val="HouseStyleBase"/>
    <w:pPr>
      <w:tabs>
        <w:tab w:val="num" w:pos="1440"/>
      </w:tabs>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tabs>
        <w:tab w:val="num" w:pos="360"/>
      </w:tabs>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tabs>
        <w:tab w:val="num" w:pos="2160"/>
      </w:tabs>
      <w:spacing w:after="120"/>
    </w:pPr>
    <w:rPr>
      <w:rFonts w:ascii="Calibri" w:eastAsia="STZhongsong" w:hAnsi="Calibri"/>
    </w:rPr>
  </w:style>
  <w:style w:type="paragraph" w:customStyle="1" w:styleId="DefinitionNumbering2">
    <w:name w:val="Definition Numbering 2"/>
    <w:basedOn w:val="HouseStyleBase"/>
    <w:pPr>
      <w:tabs>
        <w:tab w:val="num" w:pos="2880"/>
      </w:tabs>
      <w:outlineLvl w:val="1"/>
    </w:pPr>
  </w:style>
  <w:style w:type="paragraph" w:customStyle="1" w:styleId="DefinitionNumbering3">
    <w:name w:val="Definition Numbering 3"/>
    <w:basedOn w:val="HouseStyleBase"/>
    <w:pPr>
      <w:tabs>
        <w:tab w:val="num" w:pos="3600"/>
      </w:tabs>
      <w:outlineLvl w:val="2"/>
    </w:pPr>
  </w:style>
  <w:style w:type="paragraph" w:customStyle="1" w:styleId="DefinitionNumbering4">
    <w:name w:val="Definition Numbering 4"/>
    <w:basedOn w:val="HouseStyleBase"/>
    <w:pPr>
      <w:tabs>
        <w:tab w:val="num" w:pos="4320"/>
      </w:tabs>
      <w:outlineLvl w:val="3"/>
    </w:pPr>
  </w:style>
  <w:style w:type="paragraph" w:customStyle="1" w:styleId="DefinitionNumbering5">
    <w:name w:val="Definition Numbering 5"/>
    <w:basedOn w:val="HouseStyleBase"/>
    <w:pPr>
      <w:tabs>
        <w:tab w:val="num" w:pos="5040"/>
      </w:tabs>
      <w:outlineLvl w:val="4"/>
    </w:pPr>
  </w:style>
  <w:style w:type="paragraph" w:customStyle="1" w:styleId="DefinitionNumbering6">
    <w:name w:val="Definition Numbering 6"/>
    <w:basedOn w:val="HouseStyleBase"/>
    <w:pPr>
      <w:tabs>
        <w:tab w:val="num" w:pos="5760"/>
      </w:tabs>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tabs>
        <w:tab w:val="clear" w:pos="720"/>
      </w:tabs>
      <w:overflowPunct w:val="0"/>
      <w:autoSpaceDE w:val="0"/>
      <w:autoSpaceDN w:val="0"/>
      <w:spacing w:after="120" w:line="360" w:lineRule="auto"/>
      <w:ind w:left="283"/>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u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u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u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u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u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u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u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u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u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u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table" w:customStyle="1" w:styleId="a4">
    <w:basedOn w:val="TableNormal"/>
    <w:rPr>
      <w:rFonts w:ascii="Cambria" w:eastAsia="Cambria" w:hAnsi="Cambria" w:cs="Cambria"/>
      <w:b/>
      <w:color w:val="FFFFFF"/>
    </w:rPr>
    <w:tblPr>
      <w:tblStyleRowBandSize w:val="1"/>
      <w:tblStyleColBandSize w:val="1"/>
    </w:tblPr>
  </w:style>
  <w:style w:type="table" w:customStyle="1" w:styleId="a5">
    <w:basedOn w:val="TableNormal"/>
    <w:rPr>
      <w:rFonts w:ascii="Cambria" w:eastAsia="Cambria" w:hAnsi="Cambria" w:cs="Cambria"/>
      <w:b/>
      <w:color w:val="FFFFFF"/>
    </w:rPr>
    <w:tblPr>
      <w:tblStyleRowBandSize w:val="1"/>
      <w:tblStyleColBandSize w:val="1"/>
    </w:tblPr>
  </w:style>
  <w:style w:type="table" w:customStyle="1" w:styleId="a6">
    <w:basedOn w:val="TableNormal"/>
    <w:rPr>
      <w:rFonts w:ascii="Cambria" w:eastAsia="Cambria" w:hAnsi="Cambria" w:cs="Cambria"/>
      <w:b/>
      <w:color w:val="FFFFFF"/>
    </w:rPr>
    <w:tblPr>
      <w:tblStyleRowBandSize w:val="1"/>
      <w:tblStyleColBandSize w:val="1"/>
    </w:tblPr>
  </w:style>
  <w:style w:type="table" w:customStyle="1" w:styleId="a7">
    <w:basedOn w:val="TableNormal"/>
    <w:rPr>
      <w:rFonts w:ascii="Cambria" w:eastAsia="Cambria" w:hAnsi="Cambria" w:cs="Cambria"/>
      <w:b/>
      <w:color w:val="FFFFFF"/>
    </w:rPr>
    <w:tblPr>
      <w:tblStyleRowBandSize w:val="1"/>
      <w:tblStyleColBandSize w:val="1"/>
    </w:tblPr>
  </w:style>
  <w:style w:type="table" w:customStyle="1" w:styleId="a8">
    <w:basedOn w:val="TableNormal"/>
    <w:rPr>
      <w:rFonts w:ascii="Cambria" w:eastAsia="Cambria" w:hAnsi="Cambria" w:cs="Cambria"/>
      <w:b/>
      <w:color w:val="FFFFFF"/>
    </w:rPr>
    <w:tblPr>
      <w:tblStyleRowBandSize w:val="1"/>
      <w:tblStyleColBandSize w:val="1"/>
    </w:tblPr>
  </w:style>
  <w:style w:type="table" w:customStyle="1" w:styleId="a9">
    <w:basedOn w:val="TableNormal"/>
    <w:rPr>
      <w:rFonts w:ascii="Cambria" w:eastAsia="Cambria" w:hAnsi="Cambria" w:cs="Cambria"/>
      <w:b/>
      <w:color w:val="FFFFFF"/>
    </w:rPr>
    <w:tblPr>
      <w:tblStyleRowBandSize w:val="1"/>
      <w:tblStyleColBandSize w:val="1"/>
    </w:tblPr>
  </w:style>
  <w:style w:type="paragraph" w:styleId="Revision">
    <w:name w:val="Revision"/>
    <w:hidden/>
    <w:uiPriority w:val="99"/>
    <w:semiHidden/>
    <w:rsid w:val="001273C6"/>
    <w:pPr>
      <w:spacing w:after="0" w:line="240" w:lineRule="auto"/>
      <w:ind w:firstLine="0"/>
      <w:jc w:val="left"/>
    </w:pPr>
    <w:rPr>
      <w:position w:val="-1"/>
      <w:lang w:eastAsia="en-US"/>
    </w:rPr>
  </w:style>
  <w:style w:type="table" w:customStyle="1" w:styleId="aa">
    <w:basedOn w:val="TableNormal"/>
    <w:rPr>
      <w:rFonts w:ascii="Cambria" w:eastAsia="Cambria" w:hAnsi="Cambria" w:cs="Cambria"/>
      <w:b/>
      <w:color w:val="FFFFFF"/>
    </w:rPr>
    <w:tblPr>
      <w:tblStyleRowBandSize w:val="1"/>
      <w:tblStyleColBandSize w:val="1"/>
    </w:tblPr>
  </w:style>
  <w:style w:type="table" w:customStyle="1" w:styleId="ab">
    <w:basedOn w:val="TableNormal"/>
    <w:rPr>
      <w:rFonts w:ascii="Cambria" w:eastAsia="Cambria" w:hAnsi="Cambria" w:cs="Cambria"/>
      <w:b/>
      <w:color w:val="FFFFFF"/>
    </w:rPr>
    <w:tblPr>
      <w:tblStyleRowBandSize w:val="1"/>
      <w:tblStyleColBandSize w:val="1"/>
    </w:tblPr>
  </w:style>
  <w:style w:type="table" w:customStyle="1" w:styleId="ac">
    <w:basedOn w:val="TableNormal"/>
    <w:rPr>
      <w:rFonts w:ascii="Cambria" w:eastAsia="Cambria" w:hAnsi="Cambria" w:cs="Cambria"/>
      <w:b/>
      <w:color w:val="FFFFFF"/>
    </w:rPr>
    <w:tblPr>
      <w:tblStyleRowBandSize w:val="1"/>
      <w:tblStyleColBandSize w:val="1"/>
    </w:tblPr>
  </w:style>
  <w:style w:type="table" w:customStyle="1" w:styleId="ad">
    <w:basedOn w:val="TableNormal"/>
    <w:rPr>
      <w:rFonts w:ascii="Cambria" w:eastAsia="Cambria" w:hAnsi="Cambria" w:cs="Cambria"/>
      <w:b/>
      <w:color w:val="FFFFFF"/>
    </w:rPr>
    <w:tblPr>
      <w:tblStyleRowBandSize w:val="1"/>
      <w:tblStyleColBandSize w:val="1"/>
    </w:tblPr>
  </w:style>
  <w:style w:type="table" w:customStyle="1" w:styleId="ae">
    <w:basedOn w:val="TableNormal"/>
    <w:rPr>
      <w:rFonts w:ascii="Cambria" w:eastAsia="Cambria" w:hAnsi="Cambria" w:cs="Cambria"/>
      <w:b/>
      <w:color w:val="FFFFFF"/>
    </w:rPr>
    <w:tblPr>
      <w:tblStyleRowBandSize w:val="1"/>
      <w:tblStyleColBandSize w:val="1"/>
    </w:tblPr>
  </w:style>
  <w:style w:type="table" w:customStyle="1" w:styleId="af">
    <w:basedOn w:val="TableNormal"/>
    <w:rPr>
      <w:rFonts w:ascii="Cambria" w:eastAsia="Cambria" w:hAnsi="Cambria" w:cs="Cambria"/>
      <w:b/>
      <w:color w:val="FFFFFF"/>
    </w:rPr>
    <w:tblPr>
      <w:tblStyleRowBandSize w:val="1"/>
      <w:tblStyleColBandSize w:val="1"/>
    </w:tblPr>
  </w:style>
  <w:style w:type="table" w:customStyle="1" w:styleId="af0">
    <w:basedOn w:val="TableNormal"/>
    <w:rPr>
      <w:rFonts w:ascii="Cambria" w:eastAsia="Cambria" w:hAnsi="Cambria" w:cs="Cambria"/>
      <w:b/>
      <w:color w:val="FFFFFF"/>
    </w:rPr>
    <w:tblPr>
      <w:tblStyleRowBandSize w:val="1"/>
      <w:tblStyleColBandSize w:val="1"/>
    </w:tblPr>
  </w:style>
  <w:style w:type="table" w:customStyle="1" w:styleId="af1">
    <w:basedOn w:val="TableNormal"/>
    <w:rPr>
      <w:rFonts w:ascii="Cambria" w:eastAsia="Cambria" w:hAnsi="Cambria" w:cs="Cambria"/>
      <w:b/>
      <w:color w:val="FFFFFF"/>
    </w:rPr>
    <w:tblPr>
      <w:tblStyleRowBandSize w:val="1"/>
      <w:tblStyleColBandSize w:val="1"/>
    </w:tblPr>
  </w:style>
  <w:style w:type="numbering" w:customStyle="1" w:styleId="Style1">
    <w:name w:val="Style1"/>
    <w:uiPriority w:val="99"/>
    <w:rsid w:val="007D3008"/>
  </w:style>
  <w:style w:type="table" w:customStyle="1" w:styleId="af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8DWLSzd9F27Few73+0eTuaTarw==">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</go:docsCustomData>
</go:gDocsCustomXmlDataStorage>
</file>

<file path=customXml/itemProps1.xml><?xml version="1.0" encoding="utf-8"?>
<ds:datastoreItem xmlns:ds="http://schemas.openxmlformats.org/officeDocument/2006/customXml" ds:itemID="{5DB692E9-21E4-4780-8E14-3B241A97F63E}">
  <ds:schemaRefs>
    <ds:schemaRef ds:uri="http://schemas.openxmlformats.org/officeDocument/2006/bibliography"/>
  </ds:schemaRefs>
</ds:datastoreItem>
</file>

<file path=customXml/itemProps2.xml><?xml version="1.0" encoding="utf-8"?>
<ds:datastoreItem xmlns:ds="http://schemas.openxmlformats.org/officeDocument/2006/customXml" ds:itemID="{8618BBBA-00FA-4240-A635-619B0660CED7}">
  <ds:schemaRefs>
    <ds:schemaRef ds:uri="http://schemas.microsoft.com/sharepoint/v3/contenttype/forms"/>
  </ds:schemaRefs>
</ds:datastoreItem>
</file>

<file path=customXml/itemProps3.xml><?xml version="1.0" encoding="utf-8"?>
<ds:datastoreItem xmlns:ds="http://schemas.openxmlformats.org/officeDocument/2006/customXml" ds:itemID="{9221872C-9E25-4BFF-A5AC-FCEC41D2A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40C5A-E202-4220-8F8F-2EC82CF6DE5F}">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Tracy Starr</cp:lastModifiedBy>
  <cp:revision>2</cp:revision>
  <dcterms:created xsi:type="dcterms:W3CDTF">2026-01-26T12:43:00Z</dcterms:created>
  <dcterms:modified xsi:type="dcterms:W3CDTF">2026-01-26T12:43:00Z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0x010100A5BF1C78D9F64B679A5EBDE1C6598EBC0100CC42F60AA7789749A5588C8BDD2261FE</vt:lpwstr>
  </property>
  <property fmtid="{D5CDD505-2E9C-101B-9397-08002B2CF9AE}" pid="9" name="HOCopyrightLevel">
    <vt:lpwstr>3;#Crown|69589897-2828-4761-976e-717fd8e631c9</vt:lpwstr>
  </property>
  <property fmtid="{D5CDD505-2E9C-101B-9397-08002B2CF9AE}" pid="10" name="HOGovernmentSecurityClassification">
    <vt:lpwstr>2;#Official|14c80daa-741b-422c-9722-f71693c9ede4</vt:lpwstr>
  </property>
  <property fmtid="{D5CDD505-2E9C-101B-9397-08002B2CF9AE}" pid="11" name="HOBusinessUnit">
    <vt:lpwstr>1;#HOPG Core (P)|1a40be58-578e-4048-945d-79155c8f9a87</vt:lpwstr>
  </property>
  <property fmtid="{D5CDD505-2E9C-101B-9397-08002B2CF9AE}" pid="12" name="MediaServiceImageTags">
    <vt:lpwstr/>
  </property>
  <property fmtid="{D5CDD505-2E9C-101B-9397-08002B2CF9AE}" pid="13" name="docLang">
    <vt:lpwstr>en</vt:lpwstr>
  </property>
</Properties>
</file>